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bookmarkStart w:id="0" w:name="_GoBack"/>
      <w:bookmarkEnd w:id="0"/>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rsidTr="00870473">
        <w:trPr>
          <w:trHeight w:val="153"/>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Child Mental Health Clinician</w:t>
            </w:r>
            <w:r w:rsidRPr="00C44F68">
              <w:rPr>
                <w:rFonts w:ascii="Arial" w:hAnsi="Arial" w:cs="Arial"/>
                <w:sz w:val="20"/>
                <w:szCs w:val="18"/>
              </w:rPr>
              <w:t xml:space="preserve"> </w:t>
            </w:r>
          </w:p>
          <w:p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Level 1 or 2 CatholicCare Enterprise Agreement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rsidTr="00870473">
        <w:trPr>
          <w:trHeight w:val="397"/>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rsidTr="00870473">
        <w:trPr>
          <w:trHeight w:val="851"/>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rsidR="00426F91" w:rsidRPr="00EF365F" w:rsidRDefault="00C44F68" w:rsidP="00BD7AD8">
            <w:pPr>
              <w:spacing w:line="25" w:lineRule="atLeast"/>
              <w:rPr>
                <w:rFonts w:ascii="Arial" w:hAnsi="Arial" w:cs="Arial"/>
                <w:sz w:val="20"/>
                <w:szCs w:val="18"/>
              </w:rPr>
            </w:pPr>
            <w:r>
              <w:rPr>
                <w:rFonts w:ascii="Arial" w:hAnsi="Arial" w:cs="Arial"/>
                <w:sz w:val="20"/>
                <w:szCs w:val="18"/>
              </w:rPr>
              <w:t xml:space="preserve">The clinician is part of the </w:t>
            </w:r>
            <w:r w:rsidR="00BD7AD8">
              <w:rPr>
                <w:rFonts w:ascii="Arial" w:hAnsi="Arial" w:cs="Arial"/>
                <w:sz w:val="20"/>
                <w:szCs w:val="18"/>
              </w:rPr>
              <w:t>broader</w:t>
            </w:r>
            <w:r>
              <w:rPr>
                <w:rFonts w:ascii="Arial" w:hAnsi="Arial" w:cs="Arial"/>
                <w:sz w:val="20"/>
                <w:szCs w:val="18"/>
              </w:rPr>
              <w:t xml:space="preserve"> </w:t>
            </w:r>
            <w:r w:rsidR="00BD7AD8">
              <w:rPr>
                <w:rFonts w:ascii="Arial" w:hAnsi="Arial" w:cs="Arial"/>
                <w:sz w:val="20"/>
                <w:szCs w:val="18"/>
              </w:rPr>
              <w:t>integrated</w:t>
            </w:r>
            <w:r>
              <w:rPr>
                <w:rFonts w:ascii="Arial" w:hAnsi="Arial" w:cs="Arial"/>
                <w:sz w:val="20"/>
                <w:szCs w:val="18"/>
              </w:rPr>
              <w:t xml:space="preserve"> counselling team at CatholicCare. The team consists of </w:t>
            </w:r>
            <w:r w:rsidR="00BD7AD8">
              <w:rPr>
                <w:rFonts w:ascii="Arial" w:hAnsi="Arial" w:cs="Arial"/>
                <w:sz w:val="20"/>
                <w:szCs w:val="18"/>
              </w:rPr>
              <w:t xml:space="preserve">various allied health staff including; </w:t>
            </w:r>
            <w:r>
              <w:rPr>
                <w:rFonts w:ascii="Arial" w:hAnsi="Arial" w:cs="Arial"/>
                <w:sz w:val="20"/>
                <w:szCs w:val="18"/>
              </w:rPr>
              <w:t>psychologists, social workers and</w:t>
            </w:r>
            <w:r w:rsidR="00BD7AD8">
              <w:rPr>
                <w:rFonts w:ascii="Arial" w:hAnsi="Arial" w:cs="Arial"/>
                <w:sz w:val="20"/>
                <w:szCs w:val="18"/>
              </w:rPr>
              <w:t xml:space="preserve"> </w:t>
            </w:r>
            <w:r>
              <w:rPr>
                <w:rFonts w:ascii="Arial" w:hAnsi="Arial" w:cs="Arial"/>
                <w:sz w:val="20"/>
                <w:szCs w:val="18"/>
              </w:rPr>
              <w:t>counsellors.</w:t>
            </w:r>
            <w:r w:rsidR="00BD7AD8">
              <w:rPr>
                <w:rFonts w:ascii="Arial" w:hAnsi="Arial" w:cs="Arial"/>
                <w:sz w:val="20"/>
                <w:szCs w:val="18"/>
              </w:rPr>
              <w:t xml:space="preserve"> The team is supported by the Next Step Program Manager.</w:t>
            </w:r>
            <w:r>
              <w:rPr>
                <w:rFonts w:ascii="Arial" w:hAnsi="Arial" w:cs="Arial"/>
                <w:sz w:val="20"/>
                <w:szCs w:val="18"/>
              </w:rPr>
              <w:t xml:space="preserve"> </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rsidR="00426F91" w:rsidRPr="00EF365F" w:rsidRDefault="00BD7AD8" w:rsidP="00590402">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a child treating team such as GP’s, teachers and psychiatrists. </w:t>
            </w:r>
          </w:p>
        </w:tc>
      </w:tr>
      <w:tr w:rsidR="00FA048E" w:rsidRPr="009C4644" w:rsidTr="00BA6F4C">
        <w:trPr>
          <w:trHeight w:val="959"/>
        </w:trPr>
        <w:tc>
          <w:tcPr>
            <w:tcW w:w="884" w:type="pct"/>
            <w:gridSpan w:val="3"/>
            <w:shd w:val="clear" w:color="auto" w:fill="auto"/>
            <w:vAlign w:val="center"/>
          </w:tcPr>
          <w:p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rsidR="00850148" w:rsidRDefault="00850148" w:rsidP="00590402">
            <w:pPr>
              <w:spacing w:line="25" w:lineRule="atLeast"/>
              <w:rPr>
                <w:rFonts w:ascii="Arial" w:eastAsia="Calibri" w:hAnsi="Arial" w:cs="Arial"/>
                <w:sz w:val="20"/>
              </w:rPr>
            </w:pPr>
          </w:p>
          <w:p w:rsidR="00EF365F" w:rsidRPr="00BD7AD8" w:rsidRDefault="00BD7AD8" w:rsidP="00590402">
            <w:pPr>
              <w:spacing w:line="25" w:lineRule="atLeast"/>
              <w:rPr>
                <w:rFonts w:ascii="Arial" w:eastAsia="Calibri" w:hAnsi="Arial" w:cs="Arial"/>
                <w:color w:val="000000" w:themeColor="text1"/>
                <w:sz w:val="20"/>
                <w:szCs w:val="20"/>
              </w:rPr>
            </w:pPr>
            <w:r w:rsidRPr="00BD7AD8">
              <w:rPr>
                <w:rStyle w:val="StyleBlue1"/>
                <w:rFonts w:ascii="Arial" w:hAnsi="Arial" w:cs="Arial"/>
                <w:color w:val="000000" w:themeColor="text1"/>
                <w:sz w:val="20"/>
                <w:szCs w:val="20"/>
              </w:rPr>
              <w:t>The key responsibilities for the Child Mental Health clinician will be to provide psychological interventions to children between the ages of 0 and 12 years, with a focus on ages 8 and 12 years. The psychological intervention service will include the provision of comprehensive assessments and structured treatment plans whilst adopting a range of evidence-based intervention appropriate for use with children under the age of 12 and their family members. In addition to this, the clinician will provide group based programs for children and their families which includes Cool Kids and Cool Little Kids groups.</w:t>
            </w:r>
          </w:p>
          <w:p w:rsidR="00850148" w:rsidRPr="00EF365F" w:rsidRDefault="00850148" w:rsidP="00590402">
            <w:pPr>
              <w:spacing w:line="25" w:lineRule="atLeast"/>
              <w:rPr>
                <w:sz w:val="20"/>
              </w:rPr>
            </w:pPr>
          </w:p>
        </w:tc>
      </w:tr>
      <w:tr w:rsidR="00FA048E" w:rsidRPr="00EF365F" w:rsidTr="00BA6F4C">
        <w:trPr>
          <w:trHeight w:val="2844"/>
        </w:trPr>
        <w:tc>
          <w:tcPr>
            <w:tcW w:w="884" w:type="pct"/>
            <w:gridSpan w:val="3"/>
            <w:shd w:val="clear" w:color="auto" w:fill="auto"/>
            <w:vAlign w:val="center"/>
          </w:tcPr>
          <w:p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rsidR="00850148" w:rsidRDefault="00850148" w:rsidP="00590402">
            <w:pPr>
              <w:spacing w:line="25" w:lineRule="atLeast"/>
              <w:rPr>
                <w:rFonts w:ascii="Arial" w:hAnsi="Arial" w:cs="Arial"/>
                <w:b/>
                <w:sz w:val="20"/>
                <w:szCs w:val="20"/>
              </w:rPr>
            </w:pPr>
          </w:p>
          <w:p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Referrals will be received via CHN intake team and initial appointment will be scheduled into iaptus software.</w:t>
            </w:r>
          </w:p>
          <w:p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essions are provided in line with any professional or CatholicCare Code of Ethics and Conduct.</w:t>
            </w:r>
            <w:r>
              <w:rPr>
                <w:rFonts w:ascii="Arial" w:hAnsi="Arial" w:cs="Arial"/>
                <w:sz w:val="18"/>
                <w:szCs w:val="18"/>
              </w:rPr>
              <w:t xml:space="preserve">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child</w:t>
            </w:r>
            <w:r w:rsidRPr="00B330CF">
              <w:rPr>
                <w:rFonts w:ascii="Arial" w:hAnsi="Arial" w:cs="Arial"/>
                <w:sz w:val="18"/>
                <w:szCs w:val="18"/>
              </w:rPr>
              <w:t xml:space="preserve"> of the limitations of confidentiality and our obligations under the C</w:t>
            </w:r>
            <w:r>
              <w:rPr>
                <w:rFonts w:ascii="Arial" w:hAnsi="Arial" w:cs="Arial"/>
                <w:sz w:val="18"/>
                <w:szCs w:val="18"/>
              </w:rPr>
              <w:t xml:space="preserve">hild Protection and Privacy Act. </w:t>
            </w:r>
            <w:r w:rsidRPr="00BD7AD8">
              <w:rPr>
                <w:rFonts w:ascii="Arial" w:hAnsi="Arial" w:cs="Arial"/>
                <w:sz w:val="18"/>
                <w:szCs w:val="18"/>
              </w:rPr>
              <w:t xml:space="preserve">Being a mandated person, you must adhere to any policy or legislation regarding this.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parents. </w:t>
            </w:r>
          </w:p>
          <w:p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rsidR="00BD7AD8" w:rsidRPr="00066E6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dopt a range of evidence-based interventions appropriate for use with children under the age of 12 and their family members.</w:t>
            </w:r>
          </w:p>
          <w:p w:rsidR="00066E6A" w:rsidRPr="00BD7AD8"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Offer a minimum of 6 client sessions per working day, with one new assessment per week </w:t>
            </w:r>
          </w:p>
          <w:p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rsid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Maintain client records per program polic</w:t>
            </w:r>
            <w:r>
              <w:rPr>
                <w:rFonts w:ascii="Arial" w:hAnsi="Arial" w:cs="Arial"/>
                <w:sz w:val="20"/>
                <w:szCs w:val="20"/>
              </w:rPr>
              <w:t>y and within policy timeframes.</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 xml:space="preserve">Contribution and completion of support letter and reports may be required. </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066E6A">
              <w:rPr>
                <w:rFonts w:ascii="Arial" w:hAnsi="Arial" w:cs="Arial"/>
                <w:color w:val="000000" w:themeColor="text1"/>
                <w:sz w:val="18"/>
                <w:szCs w:val="18"/>
              </w:rPr>
              <w:t>A case note must be made for</w:t>
            </w:r>
            <w:r w:rsidRPr="00872A84">
              <w:rPr>
                <w:rFonts w:ascii="Arial" w:hAnsi="Arial" w:cs="Arial"/>
                <w:color w:val="000000" w:themeColor="text1"/>
                <w:sz w:val="18"/>
                <w:szCs w:val="18"/>
              </w:rPr>
              <w:t xml:space="preserve"> every interaction regarding the case, including any correspondence, e-mails and other documents. Case notes must be factual, relevant and adhere to any CatholicCare process or practice.</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color w:val="000000" w:themeColor="text1"/>
                <w:sz w:val="18"/>
                <w:szCs w:val="18"/>
              </w:rPr>
              <w:t>A</w:t>
            </w:r>
            <w:r w:rsidRPr="00872A84">
              <w:rPr>
                <w:rFonts w:ascii="Arial" w:hAnsi="Arial" w:cs="Arial"/>
                <w:color w:val="000000" w:themeColor="text1"/>
                <w:sz w:val="18"/>
                <w:szCs w:val="18"/>
              </w:rPr>
              <w:t xml:space="preserve">ttend </w:t>
            </w:r>
            <w:r>
              <w:rPr>
                <w:rFonts w:ascii="Arial" w:hAnsi="Arial" w:cs="Arial"/>
                <w:color w:val="000000" w:themeColor="text1"/>
                <w:sz w:val="18"/>
                <w:szCs w:val="18"/>
              </w:rPr>
              <w:t xml:space="preserve">staff </w:t>
            </w:r>
            <w:r w:rsidRPr="00872A84">
              <w:rPr>
                <w:rFonts w:ascii="Arial" w:hAnsi="Arial" w:cs="Arial"/>
                <w:color w:val="000000" w:themeColor="text1"/>
                <w:sz w:val="18"/>
                <w:szCs w:val="18"/>
              </w:rPr>
              <w:t xml:space="preserve">meetings as directed. </w:t>
            </w:r>
          </w:p>
          <w:p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Complete Connx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rsidR="00686116" w:rsidRPr="00066E6A"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Deliver group based programs for children and their families. These programs include Cool Kids, Cool Little Kids and other relevant programs.</w:t>
            </w:r>
            <w:r w:rsidRPr="000B29B7">
              <w:rPr>
                <w:rFonts w:ascii="Arial" w:hAnsi="Arial" w:cs="Arial"/>
                <w:sz w:val="18"/>
                <w:szCs w:val="18"/>
              </w:rPr>
              <w:t xml:space="preserve"> Training in specific programs may be required.</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On occasion, m</w:t>
            </w:r>
            <w:r w:rsidRPr="00066E6A">
              <w:rPr>
                <w:rFonts w:ascii="Arial" w:hAnsi="Arial" w:cs="Arial"/>
                <w:sz w:val="18"/>
                <w:szCs w:val="18"/>
              </w:rPr>
              <w:t xml:space="preserve">ay be required to facilitate these programs after usual business hours to ensure </w:t>
            </w:r>
            <w:r>
              <w:rPr>
                <w:rFonts w:ascii="Arial" w:hAnsi="Arial" w:cs="Arial"/>
                <w:sz w:val="18"/>
                <w:szCs w:val="18"/>
              </w:rPr>
              <w:t xml:space="preserve">the programs are </w:t>
            </w:r>
            <w:r w:rsidRPr="00066E6A">
              <w:rPr>
                <w:rFonts w:ascii="Arial" w:hAnsi="Arial" w:cs="Arial"/>
                <w:sz w:val="18"/>
                <w:szCs w:val="18"/>
              </w:rPr>
              <w:t>access</w:t>
            </w:r>
            <w:r>
              <w:rPr>
                <w:rFonts w:ascii="Arial" w:hAnsi="Arial" w:cs="Arial"/>
                <w:sz w:val="18"/>
                <w:szCs w:val="18"/>
              </w:rPr>
              <w:t>ible</w:t>
            </w:r>
            <w:r w:rsidRPr="00066E6A">
              <w:rPr>
                <w:rFonts w:ascii="Arial" w:hAnsi="Arial" w:cs="Arial"/>
                <w:sz w:val="18"/>
                <w:szCs w:val="18"/>
              </w:rPr>
              <w:t xml:space="preserve"> fo</w:t>
            </w:r>
            <w:r>
              <w:rPr>
                <w:rFonts w:ascii="Arial" w:hAnsi="Arial" w:cs="Arial"/>
                <w:sz w:val="18"/>
                <w:szCs w:val="18"/>
              </w:rPr>
              <w:t xml:space="preserve">r families.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participate and contribute towards team meetings: this includes being on time and coming prepared to meetings.</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maintain professional communication and provide timely response to all stakeholders</w:t>
            </w:r>
          </w:p>
        </w:tc>
      </w:tr>
      <w:tr w:rsidR="001F3A2B"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Relevant accreditation including one of the following;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Experience working in the menta</w:t>
            </w:r>
            <w:r>
              <w:rPr>
                <w:rFonts w:ascii="Arial" w:hAnsi="Arial" w:cs="Arial"/>
                <w:color w:val="000000"/>
                <w:sz w:val="20"/>
                <w:szCs w:val="20"/>
              </w:rPr>
              <w:t xml:space="preserve">l health services with children.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Ability to respond appropriately to crisis s</w:t>
            </w:r>
            <w:r>
              <w:rPr>
                <w:rFonts w:ascii="Arial" w:hAnsi="Arial" w:cs="Arial"/>
                <w:color w:val="000000"/>
                <w:sz w:val="20"/>
                <w:szCs w:val="20"/>
              </w:rPr>
              <w:t xml:space="preserve">ituations and to manage risk.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Commitment to delive</w:t>
            </w:r>
            <w:r>
              <w:rPr>
                <w:rFonts w:ascii="Arial" w:hAnsi="Arial" w:cs="Arial"/>
                <w:color w:val="000000"/>
                <w:sz w:val="20"/>
                <w:szCs w:val="20"/>
              </w:rPr>
              <w:t xml:space="preserve">ring evidence based practice.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Willingness to reflect on, review and challenge current practice and an openness to training</w:t>
            </w:r>
            <w:r>
              <w:rPr>
                <w:rFonts w:ascii="Arial" w:hAnsi="Arial" w:cs="Arial"/>
                <w:color w:val="000000"/>
                <w:sz w:val="20"/>
                <w:szCs w:val="20"/>
              </w:rPr>
              <w:t xml:space="preserve"> and development. </w:t>
            </w:r>
            <w:r w:rsidRPr="00870473">
              <w:rPr>
                <w:rFonts w:ascii="Arial" w:hAnsi="Arial" w:cs="Arial"/>
                <w:color w:val="000000"/>
                <w:sz w:val="20"/>
                <w:szCs w:val="20"/>
              </w:rPr>
              <w:t xml:space="preserve">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good time management skills </w:t>
            </w:r>
          </w:p>
          <w:p w:rsidR="00BA6F4C"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Have an understanding of EEO, Work Safety and confidentiality</w:t>
            </w:r>
          </w:p>
        </w:tc>
      </w:tr>
      <w:tr w:rsidR="001F3A2B" w:rsidRPr="00EF365F"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rsidR="001F3A2B" w:rsidRPr="00EF365F" w:rsidRDefault="001F3A2B" w:rsidP="009D7B31">
            <w:pPr>
              <w:pStyle w:val="Heading7"/>
              <w:jc w:val="center"/>
              <w:rPr>
                <w:b/>
                <w:bCs/>
                <w:szCs w:val="20"/>
              </w:rPr>
            </w:pPr>
          </w:p>
          <w:p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facing young people who have mental illness</w:t>
            </w:r>
            <w:r w:rsidR="00B336FE">
              <w:rPr>
                <w:rFonts w:ascii="Arial" w:hAnsi="Arial" w:cs="Arial"/>
                <w:sz w:val="20"/>
                <w:szCs w:val="20"/>
              </w:rPr>
              <w:t xml:space="preserve">. </w:t>
            </w:r>
          </w:p>
          <w:p w:rsidR="00B336FE" w:rsidRDefault="00B336FE"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rsidR="001F3A2B" w:rsidRPr="00EF365F" w:rsidRDefault="001F3A2B" w:rsidP="00BA6F4C">
            <w:pPr>
              <w:pStyle w:val="Heading7"/>
              <w:spacing w:line="300" w:lineRule="auto"/>
              <w:rPr>
                <w:i w:val="0"/>
                <w:iCs w:val="0"/>
                <w:szCs w:val="20"/>
              </w:rPr>
            </w:pPr>
          </w:p>
          <w:p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p>
          <w:p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DBE5F1" w:themeFill="accent1" w:themeFillTint="33"/>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bl>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D6" w:rsidRDefault="007974D6" w:rsidP="00073326">
      <w:r>
        <w:separator/>
      </w:r>
    </w:p>
  </w:endnote>
  <w:endnote w:type="continuationSeparator" w:id="0">
    <w:p w:rsidR="007974D6" w:rsidRDefault="007974D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DF3316">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DF3316">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D6" w:rsidRDefault="007974D6" w:rsidP="00073326">
      <w:r>
        <w:separator/>
      </w:r>
    </w:p>
  </w:footnote>
  <w:footnote w:type="continuationSeparator" w:id="0">
    <w:p w:rsidR="007974D6" w:rsidRDefault="007974D6"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1F4D"/>
    <w:rsid w:val="00426F91"/>
    <w:rsid w:val="004463BB"/>
    <w:rsid w:val="00475B9D"/>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F68"/>
    <w:rsid w:val="00C67F4B"/>
    <w:rsid w:val="00C74868"/>
    <w:rsid w:val="00C77865"/>
    <w:rsid w:val="00C86432"/>
    <w:rsid w:val="00CB0ED0"/>
    <w:rsid w:val="00CC3D11"/>
    <w:rsid w:val="00CE5BA1"/>
    <w:rsid w:val="00D03037"/>
    <w:rsid w:val="00D11E25"/>
    <w:rsid w:val="00D26E14"/>
    <w:rsid w:val="00D52DCC"/>
    <w:rsid w:val="00D66557"/>
    <w:rsid w:val="00D71E15"/>
    <w:rsid w:val="00DA2C9A"/>
    <w:rsid w:val="00DF32C3"/>
    <w:rsid w:val="00DF3316"/>
    <w:rsid w:val="00E00711"/>
    <w:rsid w:val="00E05133"/>
    <w:rsid w:val="00E25BF9"/>
    <w:rsid w:val="00E37699"/>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5F69-86B9-493E-89A8-9BA3FE1E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6856</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John Ha</cp:lastModifiedBy>
  <cp:revision>2</cp:revision>
  <cp:lastPrinted>2018-03-16T04:28:00Z</cp:lastPrinted>
  <dcterms:created xsi:type="dcterms:W3CDTF">2019-04-15T05:05:00Z</dcterms:created>
  <dcterms:modified xsi:type="dcterms:W3CDTF">2019-04-15T05:05:00Z</dcterms:modified>
</cp:coreProperties>
</file>